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81F1" w14:textId="77777777" w:rsidR="0089573E" w:rsidRDefault="0089573E" w:rsidP="0089573E">
      <w:pPr>
        <w:pStyle w:val="xmsonormal"/>
      </w:pPr>
      <w:r>
        <w:rPr>
          <w:color w:val="000000"/>
        </w:rPr>
        <w:t>Dear colleagues,</w:t>
      </w:r>
    </w:p>
    <w:p w14:paraId="68DDE7CB" w14:textId="77777777" w:rsidR="0089573E" w:rsidRDefault="0089573E" w:rsidP="0089573E">
      <w:pPr>
        <w:pStyle w:val="xmsonormal"/>
      </w:pPr>
      <w:r>
        <w:rPr>
          <w:color w:val="000000"/>
        </w:rPr>
        <w:t> </w:t>
      </w:r>
    </w:p>
    <w:p w14:paraId="24125082" w14:textId="77777777" w:rsidR="0089573E" w:rsidRDefault="0089573E" w:rsidP="0089573E">
      <w:pPr>
        <w:pStyle w:val="xmsonormal"/>
      </w:pPr>
      <w:r>
        <w:rPr>
          <w:color w:val="000000"/>
        </w:rPr>
        <w:t>We are pleased to announce the formation of a ‘Clinical Research Budget Negotiation Working Group.’  This is a joint initiative between OCR, SPA, and the CTSA program. We are fortunate to have several volunteers with tremendous experience in clinical research budgets and finance from different departments and centers across the campus who agreed to serve on this working group.</w:t>
      </w:r>
    </w:p>
    <w:p w14:paraId="6DA74512" w14:textId="77777777" w:rsidR="0089573E" w:rsidRDefault="0089573E" w:rsidP="0089573E">
      <w:pPr>
        <w:pStyle w:val="xmsonormal"/>
      </w:pPr>
      <w:r>
        <w:t> </w:t>
      </w:r>
    </w:p>
    <w:p w14:paraId="4511A612" w14:textId="77777777" w:rsidR="0089573E" w:rsidRDefault="0089573E" w:rsidP="0089573E">
      <w:pPr>
        <w:pStyle w:val="xmsonormal"/>
      </w:pPr>
      <w:r>
        <w:rPr>
          <w:color w:val="000000"/>
        </w:rPr>
        <w:t>The overarching goal of this group is to advise research teams on how to build and negotiate clinical research budgets faster to reduce time to activate clinical studies at UT Southwestern.</w:t>
      </w:r>
    </w:p>
    <w:p w14:paraId="511CD4FC" w14:textId="77777777" w:rsidR="0089573E" w:rsidRDefault="0089573E" w:rsidP="0089573E">
      <w:pPr>
        <w:pStyle w:val="xmsonormal"/>
      </w:pPr>
      <w:r>
        <w:rPr>
          <w:color w:val="000000"/>
        </w:rPr>
        <w:t> </w:t>
      </w:r>
    </w:p>
    <w:p w14:paraId="5A239638" w14:textId="77777777" w:rsidR="0089573E" w:rsidRDefault="0089573E" w:rsidP="0089573E">
      <w:pPr>
        <w:pStyle w:val="xmsonormal"/>
      </w:pPr>
      <w:r>
        <w:rPr>
          <w:color w:val="000000"/>
        </w:rPr>
        <w:t>Scope of the working group:</w:t>
      </w:r>
    </w:p>
    <w:p w14:paraId="2246D7E9" w14:textId="77777777" w:rsidR="0089573E" w:rsidRDefault="0089573E" w:rsidP="0089573E">
      <w:pPr>
        <w:pStyle w:val="xmsonormal"/>
        <w:numPr>
          <w:ilvl w:val="0"/>
          <w:numId w:val="1"/>
        </w:numPr>
        <w:rPr>
          <w:rFonts w:eastAsia="Times New Roman"/>
          <w:color w:val="000000"/>
        </w:rPr>
      </w:pPr>
      <w:r>
        <w:rPr>
          <w:rFonts w:eastAsia="Times New Roman"/>
          <w:color w:val="000000"/>
        </w:rPr>
        <w:t>Provide resources and tools to build clinical research budgets and conduct financial feasibility analysis</w:t>
      </w:r>
    </w:p>
    <w:p w14:paraId="12D5B8E6" w14:textId="77777777" w:rsidR="0089573E" w:rsidRDefault="0089573E" w:rsidP="0089573E">
      <w:pPr>
        <w:pStyle w:val="xmsonormal"/>
        <w:numPr>
          <w:ilvl w:val="0"/>
          <w:numId w:val="1"/>
        </w:numPr>
        <w:rPr>
          <w:rFonts w:eastAsia="Times New Roman"/>
          <w:color w:val="000000"/>
        </w:rPr>
      </w:pPr>
      <w:r>
        <w:rPr>
          <w:rFonts w:eastAsia="Times New Roman"/>
          <w:color w:val="000000"/>
        </w:rPr>
        <w:t>Advise on how to navigate budget negotiations and handle common sponsor pushbacks</w:t>
      </w:r>
    </w:p>
    <w:p w14:paraId="2C230C53" w14:textId="77777777" w:rsidR="0089573E" w:rsidRDefault="0089573E" w:rsidP="0089573E">
      <w:pPr>
        <w:pStyle w:val="xmsonormal"/>
        <w:numPr>
          <w:ilvl w:val="0"/>
          <w:numId w:val="1"/>
        </w:numPr>
        <w:rPr>
          <w:rFonts w:eastAsia="Times New Roman"/>
          <w:color w:val="000000"/>
        </w:rPr>
      </w:pPr>
      <w:r>
        <w:rPr>
          <w:rFonts w:eastAsia="Times New Roman"/>
          <w:color w:val="000000"/>
        </w:rPr>
        <w:t>Provide consultation on resolving budget negotiations impasse</w:t>
      </w:r>
    </w:p>
    <w:p w14:paraId="579C8B8A" w14:textId="77777777" w:rsidR="0089573E" w:rsidRDefault="0089573E" w:rsidP="0089573E">
      <w:pPr>
        <w:pStyle w:val="xmsonormal"/>
        <w:numPr>
          <w:ilvl w:val="0"/>
          <w:numId w:val="1"/>
        </w:numPr>
        <w:rPr>
          <w:rFonts w:eastAsia="Times New Roman"/>
          <w:color w:val="000000"/>
        </w:rPr>
      </w:pPr>
      <w:r>
        <w:rPr>
          <w:rFonts w:eastAsia="Times New Roman"/>
          <w:color w:val="000000"/>
        </w:rPr>
        <w:t>Consultation to optimize clinical research team’s financial and regulatory operations</w:t>
      </w:r>
    </w:p>
    <w:p w14:paraId="2BA22099" w14:textId="77777777" w:rsidR="0089573E" w:rsidRDefault="0089573E" w:rsidP="0089573E">
      <w:pPr>
        <w:pStyle w:val="xmsonormal"/>
        <w:numPr>
          <w:ilvl w:val="0"/>
          <w:numId w:val="1"/>
        </w:numPr>
        <w:rPr>
          <w:rFonts w:eastAsia="Times New Roman"/>
        </w:rPr>
      </w:pPr>
      <w:r>
        <w:rPr>
          <w:rFonts w:eastAsia="Times New Roman"/>
          <w:color w:val="000000"/>
        </w:rPr>
        <w:t>Offer “on-demand education” to research teams on standardized institutional processes</w:t>
      </w:r>
    </w:p>
    <w:p w14:paraId="05C963E7" w14:textId="77777777" w:rsidR="0089573E" w:rsidRDefault="0089573E" w:rsidP="0089573E">
      <w:pPr>
        <w:pStyle w:val="xmsonormal"/>
      </w:pPr>
      <w:r>
        <w:rPr>
          <w:color w:val="000000"/>
        </w:rPr>
        <w:t>We have assembled a group of seasoned clinical research professionals with a lot of expertise in negotiating budgets who will act as a resource to assist study teams.</w:t>
      </w:r>
    </w:p>
    <w:p w14:paraId="1A0A51FD" w14:textId="77777777" w:rsidR="0089573E" w:rsidRDefault="0089573E" w:rsidP="0089573E">
      <w:pPr>
        <w:pStyle w:val="xmsonormal"/>
      </w:pPr>
      <w:r>
        <w:rPr>
          <w:color w:val="000000"/>
        </w:rPr>
        <w:t> </w:t>
      </w:r>
    </w:p>
    <w:p w14:paraId="18F80BD0" w14:textId="77777777" w:rsidR="0089573E" w:rsidRDefault="0089573E" w:rsidP="0089573E">
      <w:pPr>
        <w:pStyle w:val="xmsonormal"/>
      </w:pPr>
      <w:r>
        <w:rPr>
          <w:color w:val="000000"/>
        </w:rPr>
        <w:t>We want to reiterate that this working group is NOT a centralized budget preparation service and will not replace the primary responsibility of study teams and departments to have the basic infrastructure to build and negotiate budgets.</w:t>
      </w:r>
    </w:p>
    <w:p w14:paraId="7EE9E72D" w14:textId="77777777" w:rsidR="0089573E" w:rsidRDefault="0089573E" w:rsidP="0089573E">
      <w:pPr>
        <w:pStyle w:val="xmsonormal"/>
      </w:pPr>
      <w:r>
        <w:t> </w:t>
      </w:r>
    </w:p>
    <w:p w14:paraId="6E56A786" w14:textId="77777777" w:rsidR="0089573E" w:rsidRDefault="0089573E" w:rsidP="0089573E">
      <w:pPr>
        <w:pStyle w:val="xmsonormal"/>
      </w:pPr>
      <w:r>
        <w:rPr>
          <w:color w:val="000000"/>
        </w:rPr>
        <w:t>More details on the working group, how to request assistance,  the triage and prioritization process and meeting process are explained in the attached document.</w:t>
      </w:r>
    </w:p>
    <w:p w14:paraId="0D65BB64" w14:textId="77777777" w:rsidR="0089573E" w:rsidRDefault="0089573E" w:rsidP="0089573E">
      <w:pPr>
        <w:pStyle w:val="xmsonormal"/>
      </w:pPr>
      <w:r>
        <w:rPr>
          <w:color w:val="000000"/>
        </w:rPr>
        <w:t> </w:t>
      </w:r>
    </w:p>
    <w:p w14:paraId="12D29A9C" w14:textId="77777777" w:rsidR="0089573E" w:rsidRDefault="0089573E" w:rsidP="0089573E">
      <w:pPr>
        <w:pStyle w:val="xmsonormal"/>
      </w:pPr>
      <w:r>
        <w:rPr>
          <w:color w:val="000000"/>
        </w:rPr>
        <w:t>As we launch this working group and assess the demand, we will revisit the scope and reset expectations on turnaround time based on feedback and real-time data.</w:t>
      </w:r>
    </w:p>
    <w:p w14:paraId="34821DC0" w14:textId="77777777" w:rsidR="0089573E" w:rsidRDefault="0089573E" w:rsidP="0089573E">
      <w:pPr>
        <w:pStyle w:val="xmsonormal"/>
      </w:pPr>
      <w:r>
        <w:rPr>
          <w:color w:val="000000"/>
        </w:rPr>
        <w:t> </w:t>
      </w:r>
    </w:p>
    <w:p w14:paraId="7EBC28BC" w14:textId="77777777" w:rsidR="0089573E" w:rsidRDefault="0089573E" w:rsidP="0089573E">
      <w:pPr>
        <w:pStyle w:val="xmsonormal"/>
      </w:pPr>
      <w:r>
        <w:rPr>
          <w:color w:val="000000"/>
        </w:rPr>
        <w:t>Please do not hesitate to contact Aaron Brunson (</w:t>
      </w:r>
      <w:hyperlink r:id="rId5" w:history="1">
        <w:r>
          <w:rPr>
            <w:rStyle w:val="Hyperlink"/>
          </w:rPr>
          <w:t>frank.brunson@utsouthwestern.edu</w:t>
        </w:r>
      </w:hyperlink>
      <w:r>
        <w:rPr>
          <w:color w:val="000000"/>
        </w:rPr>
        <w:t>), Program Manager in the OCR, coordinating this effort with any questions and concerns.</w:t>
      </w:r>
    </w:p>
    <w:p w14:paraId="1373BA46" w14:textId="77777777" w:rsidR="0089573E" w:rsidRDefault="0089573E" w:rsidP="0089573E">
      <w:pPr>
        <w:pStyle w:val="xmsonormal"/>
      </w:pPr>
      <w:r>
        <w:t> </w:t>
      </w:r>
    </w:p>
    <w:p w14:paraId="59BDBA36" w14:textId="77777777" w:rsidR="0089573E" w:rsidRDefault="0089573E" w:rsidP="0089573E">
      <w:pPr>
        <w:pStyle w:val="xmsonormal"/>
      </w:pPr>
      <w:r>
        <w:rPr>
          <w:color w:val="000000"/>
        </w:rPr>
        <w:t> Sincerely,</w:t>
      </w:r>
    </w:p>
    <w:p w14:paraId="5E9D9EF4" w14:textId="77777777" w:rsidR="0089573E" w:rsidRDefault="0089573E" w:rsidP="0089573E">
      <w:pPr>
        <w:pStyle w:val="xmsonormal"/>
      </w:pPr>
      <w:r>
        <w:t> </w:t>
      </w:r>
    </w:p>
    <w:p w14:paraId="5FE7E1B6" w14:textId="77777777" w:rsidR="0089573E" w:rsidRDefault="0089573E" w:rsidP="0089573E">
      <w:pPr>
        <w:pStyle w:val="xmsonormal"/>
      </w:pPr>
      <w:r>
        <w:rPr>
          <w:color w:val="000000"/>
        </w:rPr>
        <w:t>OCR, SPA and CTSA</w:t>
      </w:r>
    </w:p>
    <w:p w14:paraId="12DCC454" w14:textId="77777777" w:rsidR="00401436" w:rsidRDefault="00401436"/>
    <w:sectPr w:rsidR="00401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75AE8"/>
    <w:multiLevelType w:val="multilevel"/>
    <w:tmpl w:val="A4AE2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545698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3E"/>
    <w:rsid w:val="001D7C71"/>
    <w:rsid w:val="00401436"/>
    <w:rsid w:val="00442AD9"/>
    <w:rsid w:val="0089573E"/>
    <w:rsid w:val="008F2F2D"/>
    <w:rsid w:val="00A52418"/>
    <w:rsid w:val="00CE3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F4C4"/>
  <w15:chartTrackingRefBased/>
  <w15:docId w15:val="{290E9287-089A-4319-8B24-8A654355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7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73E"/>
    <w:rPr>
      <w:rFonts w:eastAsiaTheme="majorEastAsia" w:cstheme="majorBidi"/>
      <w:color w:val="272727" w:themeColor="text1" w:themeTint="D8"/>
    </w:rPr>
  </w:style>
  <w:style w:type="paragraph" w:styleId="Title">
    <w:name w:val="Title"/>
    <w:basedOn w:val="Normal"/>
    <w:next w:val="Normal"/>
    <w:link w:val="TitleChar"/>
    <w:uiPriority w:val="10"/>
    <w:qFormat/>
    <w:rsid w:val="008957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73E"/>
    <w:pPr>
      <w:spacing w:before="160"/>
      <w:jc w:val="center"/>
    </w:pPr>
    <w:rPr>
      <w:i/>
      <w:iCs/>
      <w:color w:val="404040" w:themeColor="text1" w:themeTint="BF"/>
    </w:rPr>
  </w:style>
  <w:style w:type="character" w:customStyle="1" w:styleId="QuoteChar">
    <w:name w:val="Quote Char"/>
    <w:basedOn w:val="DefaultParagraphFont"/>
    <w:link w:val="Quote"/>
    <w:uiPriority w:val="29"/>
    <w:rsid w:val="0089573E"/>
    <w:rPr>
      <w:i/>
      <w:iCs/>
      <w:color w:val="404040" w:themeColor="text1" w:themeTint="BF"/>
    </w:rPr>
  </w:style>
  <w:style w:type="paragraph" w:styleId="ListParagraph">
    <w:name w:val="List Paragraph"/>
    <w:basedOn w:val="Normal"/>
    <w:uiPriority w:val="34"/>
    <w:qFormat/>
    <w:rsid w:val="0089573E"/>
    <w:pPr>
      <w:ind w:left="720"/>
      <w:contextualSpacing/>
    </w:pPr>
  </w:style>
  <w:style w:type="character" w:styleId="IntenseEmphasis">
    <w:name w:val="Intense Emphasis"/>
    <w:basedOn w:val="DefaultParagraphFont"/>
    <w:uiPriority w:val="21"/>
    <w:qFormat/>
    <w:rsid w:val="0089573E"/>
    <w:rPr>
      <w:i/>
      <w:iCs/>
      <w:color w:val="0F4761" w:themeColor="accent1" w:themeShade="BF"/>
    </w:rPr>
  </w:style>
  <w:style w:type="paragraph" w:styleId="IntenseQuote">
    <w:name w:val="Intense Quote"/>
    <w:basedOn w:val="Normal"/>
    <w:next w:val="Normal"/>
    <w:link w:val="IntenseQuoteChar"/>
    <w:uiPriority w:val="30"/>
    <w:qFormat/>
    <w:rsid w:val="00895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73E"/>
    <w:rPr>
      <w:i/>
      <w:iCs/>
      <w:color w:val="0F4761" w:themeColor="accent1" w:themeShade="BF"/>
    </w:rPr>
  </w:style>
  <w:style w:type="character" w:styleId="IntenseReference">
    <w:name w:val="Intense Reference"/>
    <w:basedOn w:val="DefaultParagraphFont"/>
    <w:uiPriority w:val="32"/>
    <w:qFormat/>
    <w:rsid w:val="0089573E"/>
    <w:rPr>
      <w:b/>
      <w:bCs/>
      <w:smallCaps/>
      <w:color w:val="0F4761" w:themeColor="accent1" w:themeShade="BF"/>
      <w:spacing w:val="5"/>
    </w:rPr>
  </w:style>
  <w:style w:type="character" w:styleId="Hyperlink">
    <w:name w:val="Hyperlink"/>
    <w:basedOn w:val="DefaultParagraphFont"/>
    <w:uiPriority w:val="99"/>
    <w:semiHidden/>
    <w:unhideWhenUsed/>
    <w:rsid w:val="0089573E"/>
    <w:rPr>
      <w:color w:val="0000FF"/>
      <w:u w:val="single"/>
    </w:rPr>
  </w:style>
  <w:style w:type="paragraph" w:customStyle="1" w:styleId="xmsonormal">
    <w:name w:val="x_msonormal"/>
    <w:basedOn w:val="Normal"/>
    <w:rsid w:val="0089573E"/>
    <w:pPr>
      <w:spacing w:after="0" w:line="240" w:lineRule="auto"/>
    </w:pPr>
    <w:rPr>
      <w:rFonts w:ascii="Aptos" w:eastAsia="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26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rank.brunson@utsouthweste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Evans</dc:creator>
  <cp:keywords/>
  <dc:description/>
  <cp:lastModifiedBy>Sean Evans</cp:lastModifiedBy>
  <cp:revision>1</cp:revision>
  <dcterms:created xsi:type="dcterms:W3CDTF">2024-06-18T20:53:00Z</dcterms:created>
  <dcterms:modified xsi:type="dcterms:W3CDTF">2024-06-18T20:56:00Z</dcterms:modified>
</cp:coreProperties>
</file>